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BA25" w14:textId="77777777" w:rsidR="0016165A" w:rsidRDefault="0016165A" w:rsidP="0016165A">
      <w:pPr>
        <w:pStyle w:val="NormalWeb"/>
        <w:spacing w:before="0" w:beforeAutospacing="0" w:after="0" w:afterAutospacing="0"/>
        <w:rPr>
          <w:color w:val="201F1E"/>
        </w:rPr>
      </w:pPr>
      <w:r>
        <w:rPr>
          <w:rFonts w:ascii="Arial" w:hAnsi="Arial" w:cs="Arial"/>
          <w:b/>
          <w:bCs/>
          <w:color w:val="201F1E"/>
          <w:sz w:val="32"/>
          <w:szCs w:val="32"/>
          <w:bdr w:val="none" w:sz="0" w:space="0" w:color="auto" w:frame="1"/>
        </w:rPr>
        <w:t>Equal Employment Opportunity                                            5</w:t>
      </w:r>
    </w:p>
    <w:p w14:paraId="63160225" w14:textId="77777777" w:rsidR="0016165A" w:rsidRDefault="0016165A" w:rsidP="0016165A">
      <w:pPr>
        <w:pStyle w:val="NormalWeb"/>
        <w:spacing w:before="0" w:beforeAutospacing="0" w:after="0" w:afterAutospacing="0"/>
        <w:textAlignment w:val="baseline"/>
        <w:rPr>
          <w:rFonts w:ascii="Arial" w:hAnsi="Arial" w:cs="Arial"/>
          <w:color w:val="201F1E"/>
          <w:sz w:val="32"/>
          <w:szCs w:val="32"/>
        </w:rPr>
      </w:pPr>
      <w:r>
        <w:rPr>
          <w:rFonts w:ascii="inherit" w:hAnsi="inherit" w:cs="Arial"/>
          <w:color w:val="201F1E"/>
          <w:sz w:val="22"/>
          <w:szCs w:val="22"/>
          <w:bdr w:val="none" w:sz="0" w:space="0" w:color="auto" w:frame="1"/>
        </w:rPr>
        <w:t> </w:t>
      </w:r>
    </w:p>
    <w:p w14:paraId="5E5D2413" w14:textId="77777777" w:rsidR="0016165A" w:rsidRDefault="0016165A" w:rsidP="0016165A">
      <w:pPr>
        <w:pStyle w:val="NormalWeb"/>
        <w:spacing w:before="0" w:beforeAutospacing="0" w:after="0" w:afterAutospacing="0"/>
        <w:rPr>
          <w:rFonts w:ascii="Arial" w:hAnsi="Arial" w:cs="Arial"/>
          <w:color w:val="201F1E"/>
          <w:sz w:val="32"/>
          <w:szCs w:val="32"/>
        </w:rPr>
      </w:pPr>
      <w:r>
        <w:rPr>
          <w:rFonts w:ascii="inherit" w:hAnsi="inherit" w:cs="Arial"/>
          <w:color w:val="201F1E"/>
          <w:sz w:val="22"/>
          <w:szCs w:val="22"/>
          <w:bdr w:val="none" w:sz="0" w:space="0" w:color="auto" w:frame="1"/>
        </w:rPr>
        <w:t> </w:t>
      </w:r>
    </w:p>
    <w:p w14:paraId="363DD68D" w14:textId="77777777" w:rsidR="0016165A" w:rsidRDefault="0016165A" w:rsidP="0016165A">
      <w:pPr>
        <w:pStyle w:val="NormalWeb"/>
        <w:spacing w:before="0" w:beforeAutospacing="0" w:after="0" w:afterAutospacing="0"/>
        <w:rPr>
          <w:color w:val="201F1E"/>
        </w:rPr>
      </w:pPr>
      <w:r>
        <w:rPr>
          <w:rFonts w:ascii="inherit" w:hAnsi="inherit" w:cs="Arial"/>
          <w:i/>
          <w:iCs/>
          <w:color w:val="201F1E"/>
          <w:sz w:val="22"/>
          <w:szCs w:val="22"/>
          <w:bdr w:val="none" w:sz="0" w:space="0" w:color="auto" w:frame="1"/>
        </w:rPr>
        <w:t> </w:t>
      </w:r>
    </w:p>
    <w:p w14:paraId="7D5CBD67" w14:textId="77777777" w:rsidR="0016165A" w:rsidRDefault="0016165A" w:rsidP="0016165A">
      <w:pPr>
        <w:pStyle w:val="NormalWeb"/>
        <w:spacing w:before="0" w:beforeAutospacing="0" w:after="0" w:afterAutospacing="0" w:line="276" w:lineRule="atLeast"/>
        <w:jc w:val="both"/>
        <w:rPr>
          <w:color w:val="201F1E"/>
        </w:rPr>
      </w:pPr>
      <w:r>
        <w:rPr>
          <w:rFonts w:ascii="Century Gothic" w:hAnsi="Century Gothic"/>
          <w:b/>
          <w:bCs/>
          <w:color w:val="201F1E"/>
          <w:sz w:val="28"/>
          <w:szCs w:val="28"/>
          <w:bdr w:val="none" w:sz="0" w:space="0" w:color="auto" w:frame="1"/>
        </w:rPr>
        <w:t>Equal Opportunity</w:t>
      </w:r>
    </w:p>
    <w:p w14:paraId="69DB24FB" w14:textId="77777777" w:rsidR="0016165A" w:rsidRDefault="0016165A" w:rsidP="0016165A">
      <w:pPr>
        <w:pStyle w:val="NormalWeb"/>
        <w:spacing w:before="0" w:beforeAutospacing="0" w:after="0" w:afterAutospacing="0"/>
        <w:jc w:val="both"/>
        <w:rPr>
          <w:color w:val="201F1E"/>
        </w:rPr>
      </w:pPr>
      <w:r>
        <w:rPr>
          <w:rFonts w:ascii="Century Gothic" w:hAnsi="Century Gothic"/>
          <w:color w:val="221E1F"/>
          <w:sz w:val="22"/>
          <w:szCs w:val="22"/>
          <w:bdr w:val="none" w:sz="0" w:space="0" w:color="auto" w:frame="1"/>
        </w:rPr>
        <w:t>Milagro Center here in referred to as Milagro provides equal employment opportunities to all employees and applicants for employment without regard to race, color, ancestry, national origin, gender, sexual orientation, marital status, religion, age, disability, gender identity, results of genetic testing, or service in the military. Equal employment opportunity applies to all terms and conditions of employment, including hiring, placement, promotion, termination, layoff, recall, transfer, leave of absence, compensation, and training.</w:t>
      </w:r>
    </w:p>
    <w:p w14:paraId="1726A819" w14:textId="77777777" w:rsidR="0016165A" w:rsidRDefault="0016165A" w:rsidP="0016165A">
      <w:pPr>
        <w:pStyle w:val="NormalWeb"/>
        <w:spacing w:before="0" w:beforeAutospacing="0" w:after="0" w:afterAutospacing="0"/>
        <w:jc w:val="both"/>
        <w:rPr>
          <w:color w:val="201F1E"/>
        </w:rPr>
      </w:pPr>
      <w:r>
        <w:rPr>
          <w:rFonts w:ascii="Century Gothic" w:hAnsi="Century Gothic"/>
          <w:color w:val="221E1F"/>
          <w:sz w:val="22"/>
          <w:szCs w:val="22"/>
          <w:bdr w:val="none" w:sz="0" w:space="0" w:color="auto" w:frame="1"/>
        </w:rPr>
        <w:t>Milagro Center expressly prohibits any form of unlawful employee harassment or discrimination based on any of the characteristics mentioned above. Improper interference with the ability of other employees to perform their expected job duties is absolutely not tolerated.</w:t>
      </w:r>
      <w:r>
        <w:rPr>
          <w:rStyle w:val="apple-converted-space"/>
          <w:rFonts w:ascii="Century Gothic" w:hAnsi="Century Gothic"/>
          <w:color w:val="221E1F"/>
          <w:sz w:val="22"/>
          <w:szCs w:val="22"/>
          <w:bdr w:val="none" w:sz="0" w:space="0" w:color="auto" w:frame="1"/>
        </w:rPr>
        <w:t> </w:t>
      </w:r>
    </w:p>
    <w:p w14:paraId="410B84AC" w14:textId="77777777" w:rsidR="0016165A" w:rsidRDefault="0016165A" w:rsidP="0016165A">
      <w:pPr>
        <w:pStyle w:val="NormalWeb"/>
        <w:spacing w:before="0" w:beforeAutospacing="0" w:after="0" w:afterAutospacing="0"/>
        <w:jc w:val="both"/>
        <w:rPr>
          <w:color w:val="201F1E"/>
        </w:rPr>
      </w:pPr>
      <w:r>
        <w:rPr>
          <w:rFonts w:ascii="Century Gothic" w:hAnsi="Century Gothic"/>
          <w:color w:val="221E1F"/>
          <w:sz w:val="22"/>
          <w:szCs w:val="22"/>
          <w:bdr w:val="none" w:sz="0" w:space="0" w:color="auto" w:frame="1"/>
        </w:rPr>
        <w:t>To ensure equal employment opportunities to qualified individuals with a disability, Milagro Center will make reasonable accommodations for the known disability of an otherwise qualified individual, unless undue hardship on the operation of the business would result.</w:t>
      </w:r>
    </w:p>
    <w:p w14:paraId="71EDA029" w14:textId="77777777" w:rsidR="0016165A" w:rsidRDefault="0016165A" w:rsidP="0016165A">
      <w:pPr>
        <w:pStyle w:val="NormalWeb"/>
        <w:spacing w:before="0" w:beforeAutospacing="0" w:after="0" w:afterAutospacing="0"/>
        <w:jc w:val="both"/>
        <w:rPr>
          <w:color w:val="201F1E"/>
        </w:rPr>
      </w:pPr>
      <w:r>
        <w:rPr>
          <w:rFonts w:ascii="Century Gothic" w:hAnsi="Century Gothic"/>
          <w:color w:val="221E1F"/>
          <w:sz w:val="22"/>
          <w:szCs w:val="22"/>
          <w:bdr w:val="none" w:sz="0" w:space="0" w:color="auto" w:frame="1"/>
        </w:rPr>
        <w:t>Employees who may require reasonable accommodation should contact the Human Resources Department.</w:t>
      </w:r>
    </w:p>
    <w:p w14:paraId="44263164" w14:textId="77777777" w:rsidR="0016165A" w:rsidRDefault="0016165A" w:rsidP="0016165A">
      <w:pPr>
        <w:pStyle w:val="NormalWeb"/>
        <w:spacing w:before="0" w:beforeAutospacing="0" w:after="0" w:afterAutospacing="0"/>
        <w:jc w:val="both"/>
        <w:rPr>
          <w:color w:val="201F1E"/>
        </w:rPr>
      </w:pPr>
      <w:r>
        <w:rPr>
          <w:rFonts w:ascii="Century Gothic" w:hAnsi="Century Gothic"/>
          <w:color w:val="221E1F"/>
          <w:sz w:val="22"/>
          <w:szCs w:val="22"/>
          <w:bdr w:val="none" w:sz="0" w:space="0" w:color="auto" w:frame="1"/>
        </w:rPr>
        <w:t>Milagro Center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Milagro Center and is an important principle of sound business management.</w:t>
      </w:r>
    </w:p>
    <w:p w14:paraId="59347942" w14:textId="77777777" w:rsidR="0016165A" w:rsidRDefault="0016165A"/>
    <w:sectPr w:rsidR="0016165A" w:rsidSect="007F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5A"/>
    <w:rsid w:val="0016165A"/>
    <w:rsid w:val="00484D10"/>
    <w:rsid w:val="007F1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AA8A71"/>
  <w15:chartTrackingRefBased/>
  <w15:docId w15:val="{C1D14EE7-D8EC-A049-8DCB-1062E331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6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8188">
      <w:bodyDiv w:val="1"/>
      <w:marLeft w:val="0"/>
      <w:marRight w:val="0"/>
      <w:marTop w:val="0"/>
      <w:marBottom w:val="0"/>
      <w:divBdr>
        <w:top w:val="none" w:sz="0" w:space="0" w:color="auto"/>
        <w:left w:val="none" w:sz="0" w:space="0" w:color="auto"/>
        <w:bottom w:val="none" w:sz="0" w:space="0" w:color="auto"/>
        <w:right w:val="none" w:sz="0" w:space="0" w:color="auto"/>
      </w:divBdr>
      <w:divsChild>
        <w:div w:id="77143474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4311E99A1874A8639F349C15BBA18" ma:contentTypeVersion="12" ma:contentTypeDescription="Create a new document." ma:contentTypeScope="" ma:versionID="265ff10b5f90212f5d2c69ee160d456b">
  <xsd:schema xmlns:xsd="http://www.w3.org/2001/XMLSchema" xmlns:xs="http://www.w3.org/2001/XMLSchema" xmlns:p="http://schemas.microsoft.com/office/2006/metadata/properties" xmlns:ns2="4feb4d57-1894-4145-9ce0-3203ffd7e8c9" xmlns:ns3="bc1a61a2-bdd0-4023-9044-70b2d791cac6" targetNamespace="http://schemas.microsoft.com/office/2006/metadata/properties" ma:root="true" ma:fieldsID="a8a8e27ed417ee2e51a79bd7620a3741" ns2:_="" ns3:_="">
    <xsd:import namespace="4feb4d57-1894-4145-9ce0-3203ffd7e8c9"/>
    <xsd:import namespace="bc1a61a2-bdd0-4023-9044-70b2d791ca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b4d57-1894-4145-9ce0-3203ffd7e8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a61a2-bdd0-4023-9044-70b2d791ca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feb4d57-1894-4145-9ce0-3203ffd7e8c9">TDFV624YTSWU-647281013-119122</_dlc_DocId>
    <_dlc_DocIdUrl xmlns="4feb4d57-1894-4145-9ce0-3203ffd7e8c9">
      <Url>https://milagrocenter.sharepoint.com/sites/Public/_layouts/15/DocIdRedir.aspx?ID=TDFV624YTSWU-647281013-119122</Url>
      <Description>TDFV624YTSWU-647281013-119122</Description>
    </_dlc_DocIdUrl>
  </documentManagement>
</p:properties>
</file>

<file path=customXml/itemProps1.xml><?xml version="1.0" encoding="utf-8"?>
<ds:datastoreItem xmlns:ds="http://schemas.openxmlformats.org/officeDocument/2006/customXml" ds:itemID="{9D14F921-3527-4ACC-8136-878CC0B05642}"/>
</file>

<file path=customXml/itemProps2.xml><?xml version="1.0" encoding="utf-8"?>
<ds:datastoreItem xmlns:ds="http://schemas.openxmlformats.org/officeDocument/2006/customXml" ds:itemID="{E2DD7E44-E924-4062-B2B6-00C11762207F}"/>
</file>

<file path=customXml/itemProps3.xml><?xml version="1.0" encoding="utf-8"?>
<ds:datastoreItem xmlns:ds="http://schemas.openxmlformats.org/officeDocument/2006/customXml" ds:itemID="{B4CDE3AB-9602-48BF-BFE7-A27319DC37F8}"/>
</file>

<file path=customXml/itemProps4.xml><?xml version="1.0" encoding="utf-8"?>
<ds:datastoreItem xmlns:ds="http://schemas.openxmlformats.org/officeDocument/2006/customXml" ds:itemID="{7D109903-AE90-4960-8C0D-D7C76756BF4D}"/>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Glenn</dc:creator>
  <cp:keywords/>
  <dc:description/>
  <cp:lastModifiedBy>Mueller, Glenn</cp:lastModifiedBy>
  <cp:revision>1</cp:revision>
  <dcterms:created xsi:type="dcterms:W3CDTF">2020-11-06T17:44:00Z</dcterms:created>
  <dcterms:modified xsi:type="dcterms:W3CDTF">2020-11-06T17:45:00Z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0x0101005794311E99A1874A8639F349C15BBA18</vt:lpwstr>
  </property>
  <property fmtid="{D5CDD505-2E9C-101B-9397-08002B2CF9AE}" pid="3" name="_dlc_DocIdItemGuid">
    <vt:lpwstr>751d18a1-c558-412d-84a6-0769ee248f33</vt:lpwstr>
  </property>
</Properties>
</file>